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F5" w:rsidRDefault="005C1506">
      <w:pPr>
        <w:pStyle w:val="Heading1"/>
        <w:spacing w:before="74" w:line="322" w:lineRule="exact"/>
        <w:ind w:left="2303" w:right="1584"/>
        <w:jc w:val="center"/>
      </w:pPr>
      <w:r>
        <w:t>TRẢ LỜI BẠN NGHE ĐÀI</w:t>
      </w:r>
    </w:p>
    <w:p w:rsidR="000C24F5" w:rsidRPr="00E21960" w:rsidRDefault="005A3622">
      <w:pPr>
        <w:ind w:left="2303" w:right="1585"/>
        <w:jc w:val="center"/>
        <w:rPr>
          <w:b/>
          <w:sz w:val="28"/>
          <w:lang w:val="en-US"/>
        </w:rPr>
      </w:pPr>
      <w:r>
        <w:rPr>
          <w:b/>
          <w:sz w:val="28"/>
        </w:rPr>
        <w:t xml:space="preserve">(Tuần </w:t>
      </w:r>
      <w:r>
        <w:rPr>
          <w:b/>
          <w:sz w:val="28"/>
          <w:lang w:val="en-US"/>
        </w:rPr>
        <w:t>2</w:t>
      </w:r>
      <w:r w:rsidR="005C1506">
        <w:rPr>
          <w:b/>
          <w:sz w:val="28"/>
        </w:rPr>
        <w:t>) T</w:t>
      </w:r>
      <w:r w:rsidR="00E21960">
        <w:rPr>
          <w:b/>
          <w:sz w:val="28"/>
        </w:rPr>
        <w:t xml:space="preserve">hứ ba, ngày </w:t>
      </w:r>
      <w:r w:rsidR="00E21960">
        <w:rPr>
          <w:b/>
          <w:sz w:val="28"/>
          <w:lang w:val="en-US"/>
        </w:rPr>
        <w:t>09</w:t>
      </w:r>
      <w:r w:rsidR="00E21960">
        <w:rPr>
          <w:b/>
          <w:sz w:val="28"/>
        </w:rPr>
        <w:t xml:space="preserve"> tháng </w:t>
      </w:r>
      <w:r w:rsidR="00E21960">
        <w:rPr>
          <w:b/>
          <w:sz w:val="28"/>
          <w:lang w:val="en-US"/>
        </w:rPr>
        <w:t>8</w:t>
      </w:r>
      <w:r w:rsidR="00E21960">
        <w:rPr>
          <w:b/>
          <w:sz w:val="28"/>
        </w:rPr>
        <w:t xml:space="preserve"> năm 20</w:t>
      </w:r>
      <w:r w:rsidR="00E21960">
        <w:rPr>
          <w:b/>
          <w:sz w:val="28"/>
          <w:lang w:val="en-US"/>
        </w:rPr>
        <w:t>22</w:t>
      </w:r>
    </w:p>
    <w:p w:rsidR="000C24F5" w:rsidRDefault="000C24F5">
      <w:pPr>
        <w:pStyle w:val="BodyText"/>
        <w:spacing w:before="2"/>
        <w:ind w:left="0" w:firstLine="0"/>
        <w:jc w:val="left"/>
        <w:rPr>
          <w:b/>
        </w:rPr>
      </w:pPr>
    </w:p>
    <w:p w:rsidR="000C24F5" w:rsidRDefault="005C1506">
      <w:pPr>
        <w:spacing w:line="322" w:lineRule="exact"/>
        <w:ind w:left="839"/>
        <w:rPr>
          <w:b/>
          <w:sz w:val="28"/>
        </w:rPr>
      </w:pPr>
      <w:r>
        <w:rPr>
          <w:b/>
          <w:sz w:val="28"/>
        </w:rPr>
        <w:t>Thưa quý vị và các bạn</w:t>
      </w:r>
    </w:p>
    <w:p w:rsidR="000C24F5" w:rsidRDefault="005C1506">
      <w:pPr>
        <w:ind w:left="119" w:right="671" w:firstLine="719"/>
        <w:rPr>
          <w:b/>
          <w:sz w:val="28"/>
        </w:rPr>
      </w:pPr>
      <w:r>
        <w:rPr>
          <w:b/>
          <w:sz w:val="28"/>
        </w:rPr>
        <w:t>Trong chuyên mục tuần này chúng tôi xin được giải đáp những vướng mắc về pháp luật qua đơn thư chúng tôi đã tổng hợp được trong tuần qua như sau:</w:t>
      </w:r>
    </w:p>
    <w:p w:rsidR="000C24F5" w:rsidRDefault="000C24F5">
      <w:pPr>
        <w:pStyle w:val="BodyText"/>
        <w:spacing w:before="3"/>
        <w:ind w:left="0" w:firstLine="0"/>
        <w:jc w:val="left"/>
        <w:rPr>
          <w:b/>
          <w:sz w:val="38"/>
        </w:rPr>
      </w:pPr>
    </w:p>
    <w:p w:rsidR="000C24F5" w:rsidRDefault="005C1506">
      <w:pPr>
        <w:spacing w:line="242" w:lineRule="auto"/>
        <w:ind w:left="119" w:right="112" w:firstLine="719"/>
        <w:jc w:val="both"/>
        <w:rPr>
          <w:b/>
          <w:i/>
          <w:sz w:val="28"/>
        </w:rPr>
      </w:pPr>
      <w:r>
        <w:rPr>
          <w:b/>
          <w:sz w:val="28"/>
        </w:rPr>
        <w:t xml:space="preserve">Câu 1. Ông </w:t>
      </w:r>
      <w:r w:rsidR="009F76F1">
        <w:rPr>
          <w:b/>
          <w:sz w:val="28"/>
          <w:lang w:val="en-US"/>
        </w:rPr>
        <w:t>Nguy</w:t>
      </w:r>
      <w:r w:rsidR="009F76F1" w:rsidRPr="009F76F1">
        <w:rPr>
          <w:b/>
          <w:sz w:val="28"/>
          <w:lang w:val="en-US"/>
        </w:rPr>
        <w:t>ễn</w:t>
      </w:r>
      <w:r w:rsidR="009F76F1">
        <w:rPr>
          <w:b/>
          <w:sz w:val="28"/>
          <w:lang w:val="en-US"/>
        </w:rPr>
        <w:t xml:space="preserve"> V</w:t>
      </w:r>
      <w:r w:rsidR="009F76F1" w:rsidRPr="009F76F1">
        <w:rPr>
          <w:b/>
          <w:sz w:val="28"/>
          <w:lang w:val="en-US"/>
        </w:rPr>
        <w:t>ă</w:t>
      </w:r>
      <w:r w:rsidR="009F76F1">
        <w:rPr>
          <w:b/>
          <w:sz w:val="28"/>
          <w:lang w:val="en-US"/>
        </w:rPr>
        <w:t>n H</w:t>
      </w:r>
      <w:r w:rsidR="009F76F1" w:rsidRPr="009F76F1">
        <w:rPr>
          <w:b/>
          <w:sz w:val="28"/>
          <w:lang w:val="en-US"/>
        </w:rPr>
        <w:t>ư</w:t>
      </w:r>
      <w:r w:rsidR="009F76F1">
        <w:rPr>
          <w:b/>
          <w:sz w:val="28"/>
          <w:lang w:val="en-US"/>
        </w:rPr>
        <w:t xml:space="preserve">ng </w:t>
      </w:r>
      <w:r>
        <w:rPr>
          <w:b/>
          <w:sz w:val="28"/>
        </w:rPr>
        <w:t xml:space="preserve">trú tại phường </w:t>
      </w:r>
      <w:r w:rsidR="009F76F1" w:rsidRPr="009F76F1">
        <w:rPr>
          <w:b/>
          <w:sz w:val="28"/>
        </w:rPr>
        <w:t>Đô</w:t>
      </w:r>
      <w:r w:rsidR="009F76F1">
        <w:rPr>
          <w:b/>
          <w:sz w:val="28"/>
          <w:lang w:val="en-US"/>
        </w:rPr>
        <w:t>ng Kinh</w:t>
      </w:r>
      <w:r>
        <w:rPr>
          <w:b/>
          <w:sz w:val="28"/>
        </w:rPr>
        <w:t xml:space="preserve">, thành phố Lạng Sơn hỏi: </w:t>
      </w:r>
      <w:r>
        <w:rPr>
          <w:b/>
          <w:i/>
          <w:sz w:val="28"/>
        </w:rPr>
        <w:t xml:space="preserve">Trường hợp nào thì công an được khám xét nhà ở của công </w:t>
      </w:r>
      <w:bookmarkStart w:id="0" w:name="_GoBack"/>
      <w:bookmarkEnd w:id="0"/>
      <w:r>
        <w:rPr>
          <w:b/>
          <w:i/>
          <w:sz w:val="28"/>
        </w:rPr>
        <w:t>dân theo quy định của pháp</w:t>
      </w:r>
      <w:r>
        <w:rPr>
          <w:b/>
          <w:i/>
          <w:spacing w:val="-2"/>
          <w:sz w:val="28"/>
        </w:rPr>
        <w:t xml:space="preserve"> </w:t>
      </w:r>
      <w:r>
        <w:rPr>
          <w:b/>
          <w:i/>
          <w:sz w:val="28"/>
        </w:rPr>
        <w:t>luật?</w:t>
      </w:r>
    </w:p>
    <w:p w:rsidR="000C24F5" w:rsidRDefault="005C1506">
      <w:pPr>
        <w:pStyle w:val="Heading1"/>
        <w:spacing w:before="112"/>
        <w:jc w:val="both"/>
      </w:pPr>
      <w:r>
        <w:t>Trả lời:</w:t>
      </w:r>
    </w:p>
    <w:p w:rsidR="000C24F5" w:rsidRDefault="005C1506">
      <w:pPr>
        <w:pStyle w:val="BodyText"/>
        <w:spacing w:before="116"/>
        <w:ind w:left="839" w:firstLine="0"/>
      </w:pPr>
      <w:r>
        <w:t>Theo quy định tại Khoản 1, Điều 192 Bộ luật tố tụng hình sự năm 2015:</w:t>
      </w:r>
    </w:p>
    <w:p w:rsidR="000C24F5" w:rsidRDefault="005C1506">
      <w:pPr>
        <w:spacing w:before="119"/>
        <w:ind w:left="119" w:right="116" w:firstLine="719"/>
        <w:jc w:val="both"/>
        <w:rPr>
          <w:i/>
          <w:sz w:val="28"/>
        </w:rPr>
      </w:pPr>
      <w:r>
        <w:rPr>
          <w:i/>
          <w:sz w:val="28"/>
        </w:rPr>
        <w:t xml:space="preserve">"Việc khám xét người, chỗ ở, nơi làm việc, địa điểm, phương tiện chỉ  được tiến hành khi có căn cứ để nhận định trong người, chỗ ở, nơi làm việc, địa điểm, phương tiện có công cụ, phương tiện phạm tội, </w:t>
      </w:r>
      <w:r>
        <w:rPr>
          <w:i/>
          <w:spacing w:val="2"/>
          <w:sz w:val="28"/>
        </w:rPr>
        <w:t xml:space="preserve">tài </w:t>
      </w:r>
      <w:r>
        <w:rPr>
          <w:i/>
          <w:sz w:val="28"/>
        </w:rPr>
        <w:t xml:space="preserve">liệu, đồ vật, tài sản do phạm tội mà có hoặc đồ vật, dữ liệu điện tử, tài liệu </w:t>
      </w:r>
      <w:r>
        <w:rPr>
          <w:i/>
          <w:spacing w:val="2"/>
          <w:sz w:val="28"/>
        </w:rPr>
        <w:t xml:space="preserve">khác </w:t>
      </w:r>
      <w:r>
        <w:rPr>
          <w:i/>
          <w:sz w:val="28"/>
        </w:rPr>
        <w:t>có liên quan đến vụ án.</w:t>
      </w:r>
    </w:p>
    <w:p w:rsidR="000C24F5" w:rsidRDefault="005C1506">
      <w:pPr>
        <w:spacing w:before="121"/>
        <w:ind w:left="119" w:right="123" w:firstLine="719"/>
        <w:jc w:val="both"/>
        <w:rPr>
          <w:i/>
          <w:sz w:val="28"/>
        </w:rPr>
      </w:pPr>
      <w:r>
        <w:rPr>
          <w:i/>
          <w:sz w:val="28"/>
        </w:rPr>
        <w:t>Việc khám xét chỗ ở, nơi làm việc, địa điểm, phương tiện cũng được tiến hành khi cần phát hiện người đang bị truy nã, truy tìm và giải cứu nạn nhân"</w:t>
      </w:r>
    </w:p>
    <w:p w:rsidR="000C24F5" w:rsidRDefault="005C1506">
      <w:pPr>
        <w:pStyle w:val="BodyText"/>
        <w:spacing w:before="119"/>
        <w:ind w:right="124"/>
      </w:pPr>
      <w:r>
        <w:t>Theo căn cứ trên thì các trường hợp được khám xét chỗ ở, nơi làm việc, địa điểm, phương tiện là:</w:t>
      </w:r>
    </w:p>
    <w:p w:rsidR="000C24F5" w:rsidRDefault="005C1506">
      <w:pPr>
        <w:pStyle w:val="ListParagraph"/>
        <w:numPr>
          <w:ilvl w:val="0"/>
          <w:numId w:val="2"/>
        </w:numPr>
        <w:tabs>
          <w:tab w:val="left" w:pos="1085"/>
        </w:tabs>
        <w:spacing w:before="122"/>
        <w:ind w:right="114" w:firstLine="719"/>
        <w:rPr>
          <w:sz w:val="28"/>
        </w:rPr>
      </w:pPr>
      <w:r>
        <w:rPr>
          <w:sz w:val="28"/>
        </w:rPr>
        <w:t xml:space="preserve">Khi có căn cứ để nhận định trong người, chỗ ở, nơi làm việc, địa điểm, phương tiện có công cụ, phương tiện phạm tội, </w:t>
      </w:r>
      <w:r>
        <w:rPr>
          <w:spacing w:val="3"/>
          <w:sz w:val="28"/>
        </w:rPr>
        <w:t xml:space="preserve">tài </w:t>
      </w:r>
      <w:r>
        <w:rPr>
          <w:sz w:val="28"/>
        </w:rPr>
        <w:t xml:space="preserve">liệu, đồ vật, tài sản do phạm tội </w:t>
      </w:r>
      <w:r>
        <w:rPr>
          <w:spacing w:val="-3"/>
          <w:sz w:val="28"/>
        </w:rPr>
        <w:t xml:space="preserve">mà </w:t>
      </w:r>
      <w:r>
        <w:rPr>
          <w:sz w:val="28"/>
        </w:rPr>
        <w:t>có hoặc đồ vật, dữ liệu điện tử, tài liệu khác có liên quan đến vụ</w:t>
      </w:r>
      <w:r>
        <w:rPr>
          <w:spacing w:val="-16"/>
          <w:sz w:val="28"/>
        </w:rPr>
        <w:t xml:space="preserve"> </w:t>
      </w:r>
      <w:r>
        <w:rPr>
          <w:sz w:val="28"/>
        </w:rPr>
        <w:t>án.</w:t>
      </w:r>
    </w:p>
    <w:p w:rsidR="000C24F5" w:rsidRDefault="005C1506">
      <w:pPr>
        <w:pStyle w:val="ListParagraph"/>
        <w:numPr>
          <w:ilvl w:val="0"/>
          <w:numId w:val="2"/>
        </w:numPr>
        <w:tabs>
          <w:tab w:val="left" w:pos="1003"/>
        </w:tabs>
        <w:ind w:left="1002" w:right="0" w:hanging="164"/>
        <w:rPr>
          <w:sz w:val="28"/>
        </w:rPr>
      </w:pPr>
      <w:r>
        <w:rPr>
          <w:sz w:val="28"/>
        </w:rPr>
        <w:t>Khi cần phát hiện người đang bị truy nã, truy tìm và giải cứu nạn</w:t>
      </w:r>
      <w:r>
        <w:rPr>
          <w:spacing w:val="-28"/>
          <w:sz w:val="28"/>
        </w:rPr>
        <w:t xml:space="preserve"> </w:t>
      </w:r>
      <w:r>
        <w:rPr>
          <w:sz w:val="28"/>
        </w:rPr>
        <w:t>nhân.</w:t>
      </w:r>
    </w:p>
    <w:p w:rsidR="000C24F5" w:rsidRDefault="005C1506">
      <w:pPr>
        <w:pStyle w:val="BodyText"/>
        <w:ind w:right="115"/>
      </w:pPr>
      <w:r>
        <w:t>Theo quy định tại Khoản 1, Điều 113 và Khoản 1, Điều 193 Bộ luật Tố tụng hình sự thì những người sau có quyền ra lệnh khám xét chỗ ở:</w:t>
      </w:r>
    </w:p>
    <w:p w:rsidR="000C24F5" w:rsidRDefault="005C1506">
      <w:pPr>
        <w:pStyle w:val="ListParagraph"/>
        <w:numPr>
          <w:ilvl w:val="0"/>
          <w:numId w:val="2"/>
        </w:numPr>
        <w:tabs>
          <w:tab w:val="left" w:pos="1078"/>
        </w:tabs>
        <w:spacing w:before="121"/>
        <w:ind w:right="114" w:firstLine="789"/>
        <w:rPr>
          <w:sz w:val="28"/>
        </w:rPr>
      </w:pPr>
      <w:r>
        <w:rPr>
          <w:sz w:val="28"/>
        </w:rPr>
        <w:t xml:space="preserve">Thủ trưởng, Phó Thủ trưởng Cơ quan điều tra các </w:t>
      </w:r>
      <w:r>
        <w:rPr>
          <w:spacing w:val="2"/>
          <w:sz w:val="28"/>
        </w:rPr>
        <w:t xml:space="preserve">cấp. </w:t>
      </w:r>
      <w:r>
        <w:rPr>
          <w:sz w:val="28"/>
        </w:rPr>
        <w:t>Trường hợp này, lệnh bắt phải được Viện kiểm sát cùng cấp phê chuẩn trước khi thi</w:t>
      </w:r>
      <w:r>
        <w:rPr>
          <w:spacing w:val="-21"/>
          <w:sz w:val="28"/>
        </w:rPr>
        <w:t xml:space="preserve"> </w:t>
      </w:r>
      <w:r>
        <w:rPr>
          <w:sz w:val="28"/>
        </w:rPr>
        <w:t>hành;</w:t>
      </w:r>
    </w:p>
    <w:p w:rsidR="000C24F5" w:rsidRDefault="005C1506">
      <w:pPr>
        <w:pStyle w:val="ListParagraph"/>
        <w:numPr>
          <w:ilvl w:val="0"/>
          <w:numId w:val="2"/>
        </w:numPr>
        <w:tabs>
          <w:tab w:val="left" w:pos="1022"/>
        </w:tabs>
        <w:ind w:right="110" w:firstLine="719"/>
        <w:rPr>
          <w:sz w:val="28"/>
        </w:rPr>
      </w:pPr>
      <w:r>
        <w:rPr>
          <w:sz w:val="28"/>
        </w:rPr>
        <w:t xml:space="preserve">Viện trưởng, Phó Viện trưởng Viện kiểm sát nhân dân và </w:t>
      </w:r>
      <w:r>
        <w:rPr>
          <w:spacing w:val="2"/>
          <w:sz w:val="28"/>
        </w:rPr>
        <w:t xml:space="preserve">Viện </w:t>
      </w:r>
      <w:r>
        <w:rPr>
          <w:sz w:val="28"/>
        </w:rPr>
        <w:t>trưởng, Phó Viện trưởng Viện kiểm sát quân sự các</w:t>
      </w:r>
      <w:r>
        <w:rPr>
          <w:spacing w:val="-10"/>
          <w:sz w:val="28"/>
        </w:rPr>
        <w:t xml:space="preserve"> </w:t>
      </w:r>
      <w:r>
        <w:rPr>
          <w:sz w:val="28"/>
        </w:rPr>
        <w:t>cấp;</w:t>
      </w:r>
    </w:p>
    <w:p w:rsidR="000C24F5" w:rsidRDefault="005C1506">
      <w:pPr>
        <w:pStyle w:val="ListParagraph"/>
        <w:numPr>
          <w:ilvl w:val="0"/>
          <w:numId w:val="2"/>
        </w:numPr>
        <w:tabs>
          <w:tab w:val="left" w:pos="1022"/>
        </w:tabs>
        <w:spacing w:before="120"/>
        <w:ind w:right="115" w:firstLine="719"/>
        <w:rPr>
          <w:sz w:val="28"/>
        </w:rPr>
      </w:pPr>
      <w:r>
        <w:rPr>
          <w:sz w:val="28"/>
        </w:rPr>
        <w:t>Chánh án, Phó Chánh án Tòa án nhân dân và Chánh án, Phó Chánh án Tòa án quân sự các cấp; Hội đồng xét</w:t>
      </w:r>
      <w:r>
        <w:rPr>
          <w:spacing w:val="-10"/>
          <w:sz w:val="28"/>
        </w:rPr>
        <w:t xml:space="preserve"> </w:t>
      </w:r>
      <w:r>
        <w:rPr>
          <w:sz w:val="28"/>
        </w:rPr>
        <w:t>xử.</w:t>
      </w:r>
    </w:p>
    <w:p w:rsidR="000C24F5" w:rsidRDefault="005C1506">
      <w:pPr>
        <w:pStyle w:val="BodyText"/>
        <w:ind w:right="117"/>
      </w:pPr>
      <w:r>
        <w:t>Như vậy, nếu có căn cứ cho rằng chỗ ở của công dân có công cụ phương tiện liên quan đến vụ án hoặc phát hiện người đang bị truy nã, truy tìm và giải cứu nạn nhân. Thì công an có quyền khám xét nhà ở của công dân với điều kiện là có lệnh khám xét của người có thẩm quyền ra lệnh khám xét.</w:t>
      </w:r>
    </w:p>
    <w:p w:rsidR="000C24F5" w:rsidRDefault="000C24F5">
      <w:pPr>
        <w:sectPr w:rsidR="000C24F5">
          <w:type w:val="continuous"/>
          <w:pgSz w:w="11910" w:h="16850"/>
          <w:pgMar w:top="1060" w:right="1020" w:bottom="280" w:left="1580" w:header="720" w:footer="720" w:gutter="0"/>
          <w:cols w:space="720"/>
        </w:sectPr>
      </w:pPr>
    </w:p>
    <w:p w:rsidR="000C24F5" w:rsidRDefault="005C1506">
      <w:pPr>
        <w:spacing w:before="74"/>
        <w:ind w:left="119" w:right="118" w:firstLine="719"/>
        <w:jc w:val="both"/>
        <w:rPr>
          <w:b/>
          <w:i/>
          <w:sz w:val="28"/>
        </w:rPr>
      </w:pPr>
      <w:r>
        <w:rPr>
          <w:b/>
          <w:sz w:val="28"/>
        </w:rPr>
        <w:lastRenderedPageBreak/>
        <w:t xml:space="preserve">Câu 2. Ông </w:t>
      </w:r>
      <w:r w:rsidR="00291AF5">
        <w:rPr>
          <w:b/>
          <w:sz w:val="28"/>
          <w:lang w:val="en-US"/>
        </w:rPr>
        <w:t>L</w:t>
      </w:r>
      <w:r w:rsidR="00291AF5" w:rsidRPr="00291AF5">
        <w:rPr>
          <w:b/>
          <w:sz w:val="28"/>
          <w:lang w:val="en-US"/>
        </w:rPr>
        <w:t>ý</w:t>
      </w:r>
      <w:r w:rsidR="00291AF5">
        <w:rPr>
          <w:b/>
          <w:sz w:val="28"/>
          <w:lang w:val="en-US"/>
        </w:rPr>
        <w:t xml:space="preserve"> V</w:t>
      </w:r>
      <w:r w:rsidR="00291AF5" w:rsidRPr="00291AF5">
        <w:rPr>
          <w:b/>
          <w:sz w:val="28"/>
          <w:lang w:val="en-US"/>
        </w:rPr>
        <w:t>ă</w:t>
      </w:r>
      <w:r w:rsidR="00291AF5">
        <w:rPr>
          <w:b/>
          <w:sz w:val="28"/>
          <w:lang w:val="en-US"/>
        </w:rPr>
        <w:t xml:space="preserve">n Khoa </w:t>
      </w:r>
      <w:r>
        <w:rPr>
          <w:b/>
          <w:sz w:val="28"/>
        </w:rPr>
        <w:t xml:space="preserve">trú tại thị trấn </w:t>
      </w:r>
      <w:r w:rsidR="00291AF5">
        <w:rPr>
          <w:b/>
          <w:sz w:val="28"/>
          <w:lang w:val="en-US"/>
        </w:rPr>
        <w:t>Cao L</w:t>
      </w:r>
      <w:r w:rsidR="00291AF5" w:rsidRPr="00291AF5">
        <w:rPr>
          <w:b/>
          <w:sz w:val="28"/>
          <w:lang w:val="en-US"/>
        </w:rPr>
        <w:t>ộ</w:t>
      </w:r>
      <w:r w:rsidR="00291AF5">
        <w:rPr>
          <w:b/>
          <w:sz w:val="28"/>
          <w:lang w:val="en-US"/>
        </w:rPr>
        <w:t>c</w:t>
      </w:r>
      <w:r>
        <w:rPr>
          <w:b/>
          <w:sz w:val="28"/>
        </w:rPr>
        <w:t xml:space="preserve">, huyện </w:t>
      </w:r>
      <w:r w:rsidR="00291AF5">
        <w:rPr>
          <w:b/>
          <w:sz w:val="28"/>
          <w:lang w:val="en-US"/>
        </w:rPr>
        <w:t>Cao L</w:t>
      </w:r>
      <w:r w:rsidR="00291AF5" w:rsidRPr="00291AF5">
        <w:rPr>
          <w:b/>
          <w:sz w:val="28"/>
          <w:lang w:val="en-US"/>
        </w:rPr>
        <w:t>ộc</w:t>
      </w:r>
      <w:r w:rsidR="00291AF5">
        <w:rPr>
          <w:b/>
          <w:sz w:val="28"/>
          <w:lang w:val="en-US"/>
        </w:rPr>
        <w:t xml:space="preserve"> </w:t>
      </w:r>
      <w:r>
        <w:rPr>
          <w:b/>
          <w:sz w:val="28"/>
        </w:rPr>
        <w:t xml:space="preserve">hỏi: </w:t>
      </w:r>
      <w:r>
        <w:rPr>
          <w:b/>
          <w:i/>
          <w:sz w:val="28"/>
        </w:rPr>
        <w:t>những người nào không được đăng ký tham gia đấu giá tài sản theo quy định của pháp luật?</w:t>
      </w:r>
    </w:p>
    <w:p w:rsidR="000C24F5" w:rsidRDefault="005C1506">
      <w:pPr>
        <w:pStyle w:val="Heading1"/>
        <w:spacing w:before="122"/>
        <w:jc w:val="both"/>
      </w:pPr>
      <w:r>
        <w:t>Trả lời:</w:t>
      </w:r>
    </w:p>
    <w:p w:rsidR="000C24F5" w:rsidRDefault="005C1506">
      <w:pPr>
        <w:pStyle w:val="BodyText"/>
        <w:spacing w:before="115"/>
        <w:ind w:right="118"/>
      </w:pPr>
      <w:r>
        <w:t>Theo quy định tại Khoản 4 Điều 38 Luật đấu giá tài sản 2016, thì những người sau đây không được đăng ký tham gia đấu giá bao gồm:</w:t>
      </w:r>
    </w:p>
    <w:p w:rsidR="000C24F5" w:rsidRDefault="005C1506">
      <w:pPr>
        <w:pStyle w:val="ListParagraph"/>
        <w:numPr>
          <w:ilvl w:val="0"/>
          <w:numId w:val="1"/>
        </w:numPr>
        <w:tabs>
          <w:tab w:val="left" w:pos="1135"/>
        </w:tabs>
        <w:ind w:right="117" w:firstLine="719"/>
        <w:jc w:val="both"/>
        <w:rPr>
          <w:sz w:val="28"/>
        </w:rPr>
      </w:pPr>
      <w:r>
        <w:rPr>
          <w:sz w:val="28"/>
        </w:rPr>
        <w:t>Người không có năng lực hành vi dân sự, người bị mất hoặc bị hạn chế năng lực hành vi dân sự, người có khó khăn trong nhận thức, làm chủ hành vi hoặc người tại thời điểm đăng ký tham gia đấu giá không nhận thức, làm chủ được hành vi của</w:t>
      </w:r>
      <w:r>
        <w:rPr>
          <w:spacing w:val="1"/>
          <w:sz w:val="28"/>
        </w:rPr>
        <w:t xml:space="preserve"> </w:t>
      </w:r>
      <w:r>
        <w:rPr>
          <w:sz w:val="28"/>
        </w:rPr>
        <w:t>mình;</w:t>
      </w:r>
    </w:p>
    <w:p w:rsidR="000C24F5" w:rsidRDefault="005C1506">
      <w:pPr>
        <w:pStyle w:val="ListParagraph"/>
        <w:numPr>
          <w:ilvl w:val="0"/>
          <w:numId w:val="1"/>
        </w:numPr>
        <w:tabs>
          <w:tab w:val="left" w:pos="1171"/>
        </w:tabs>
        <w:spacing w:before="121"/>
        <w:ind w:right="117" w:firstLine="719"/>
        <w:jc w:val="both"/>
        <w:rPr>
          <w:sz w:val="28"/>
        </w:rPr>
      </w:pPr>
      <w:r>
        <w:rPr>
          <w:sz w:val="28"/>
        </w:rPr>
        <w:t>Người làm việc trong tổ chức đấu giá tài sản thực hiện cuộc đấu giá; cha, mẹ, vợ, chồng, con, anh ruột, chị ruột, em ruột của đấu giá viên điều hành cuộc đấu giá; người trực tiếp giám định, định giá tài sản; cha, mẹ, vợ, chồng, con, anh ruột, chị ruột, em ruột của người trực tiếp giám định, định giá tài</w:t>
      </w:r>
      <w:r>
        <w:rPr>
          <w:spacing w:val="-29"/>
          <w:sz w:val="28"/>
        </w:rPr>
        <w:t xml:space="preserve"> </w:t>
      </w:r>
      <w:r>
        <w:rPr>
          <w:sz w:val="28"/>
        </w:rPr>
        <w:t>sản;</w:t>
      </w:r>
    </w:p>
    <w:p w:rsidR="000C24F5" w:rsidRDefault="005C1506">
      <w:pPr>
        <w:pStyle w:val="ListParagraph"/>
        <w:numPr>
          <w:ilvl w:val="0"/>
          <w:numId w:val="1"/>
        </w:numPr>
        <w:tabs>
          <w:tab w:val="left" w:pos="1140"/>
        </w:tabs>
        <w:ind w:right="113" w:firstLine="719"/>
        <w:jc w:val="both"/>
        <w:rPr>
          <w:sz w:val="28"/>
        </w:rPr>
      </w:pPr>
      <w:r>
        <w:rPr>
          <w:sz w:val="28"/>
        </w:rPr>
        <w:t xml:space="preserve">Người được chủ sở hữu tài sản ủy quyền xử lý tài sản, người có quyền quyết định bán tài sản, người ký hợp đồng dịch vụ đấu giá tài sản, người </w:t>
      </w:r>
      <w:r>
        <w:rPr>
          <w:spacing w:val="-3"/>
          <w:sz w:val="28"/>
        </w:rPr>
        <w:t xml:space="preserve">có </w:t>
      </w:r>
      <w:r>
        <w:rPr>
          <w:sz w:val="28"/>
        </w:rPr>
        <w:t>quyền quyết định bán tài sản của người khác theo quy định của pháp</w:t>
      </w:r>
      <w:r>
        <w:rPr>
          <w:spacing w:val="-22"/>
          <w:sz w:val="28"/>
        </w:rPr>
        <w:t xml:space="preserve"> </w:t>
      </w:r>
      <w:r>
        <w:rPr>
          <w:sz w:val="28"/>
        </w:rPr>
        <w:t>luật;</w:t>
      </w:r>
    </w:p>
    <w:p w:rsidR="000C24F5" w:rsidRDefault="005C1506">
      <w:pPr>
        <w:pStyle w:val="ListParagraph"/>
        <w:numPr>
          <w:ilvl w:val="0"/>
          <w:numId w:val="1"/>
        </w:numPr>
        <w:tabs>
          <w:tab w:val="left" w:pos="1145"/>
        </w:tabs>
        <w:spacing w:before="121"/>
        <w:ind w:right="118" w:firstLine="719"/>
        <w:jc w:val="both"/>
        <w:rPr>
          <w:sz w:val="28"/>
        </w:rPr>
      </w:pPr>
      <w:r>
        <w:rPr>
          <w:sz w:val="28"/>
        </w:rPr>
        <w:t>Cha, mẹ, vợ, chồng, con, anh ruột, chị ruột, em ruột của người quy định tại điểm c khoản</w:t>
      </w:r>
      <w:r>
        <w:rPr>
          <w:spacing w:val="-8"/>
          <w:sz w:val="28"/>
        </w:rPr>
        <w:t xml:space="preserve"> </w:t>
      </w:r>
      <w:r>
        <w:rPr>
          <w:sz w:val="28"/>
        </w:rPr>
        <w:t>này;</w:t>
      </w:r>
    </w:p>
    <w:p w:rsidR="000C24F5" w:rsidRDefault="005C1506">
      <w:pPr>
        <w:pStyle w:val="BodyText"/>
        <w:ind w:right="126"/>
      </w:pPr>
      <w:r>
        <w:t>đ) Người không có quyền mua tài sản đấu giá theo quy định của pháp luật áp dụng đối với loại tài sản đó.</w:t>
      </w:r>
    </w:p>
    <w:p w:rsidR="000C24F5" w:rsidRDefault="00E6291C">
      <w:pPr>
        <w:spacing w:before="124" w:line="242" w:lineRule="auto"/>
        <w:ind w:left="119" w:right="118" w:firstLine="719"/>
        <w:jc w:val="both"/>
        <w:rPr>
          <w:b/>
          <w:i/>
          <w:sz w:val="28"/>
        </w:rPr>
      </w:pPr>
      <w:r>
        <w:rPr>
          <w:b/>
          <w:sz w:val="28"/>
        </w:rPr>
        <w:t xml:space="preserve">Câu </w:t>
      </w:r>
      <w:r>
        <w:rPr>
          <w:b/>
          <w:sz w:val="28"/>
          <w:lang w:val="en-US"/>
        </w:rPr>
        <w:t>3</w:t>
      </w:r>
      <w:r w:rsidR="00034082">
        <w:rPr>
          <w:b/>
          <w:sz w:val="28"/>
        </w:rPr>
        <w:t xml:space="preserve">. Ông </w:t>
      </w:r>
      <w:r w:rsidR="00034082">
        <w:rPr>
          <w:b/>
          <w:sz w:val="28"/>
          <w:lang w:val="en-US"/>
        </w:rPr>
        <w:t>N</w:t>
      </w:r>
      <w:r w:rsidR="00034082" w:rsidRPr="00034082">
        <w:rPr>
          <w:b/>
          <w:sz w:val="28"/>
          <w:lang w:val="en-US"/>
        </w:rPr>
        <w:t>ô</w:t>
      </w:r>
      <w:r w:rsidR="00034082">
        <w:rPr>
          <w:b/>
          <w:sz w:val="28"/>
          <w:lang w:val="en-US"/>
        </w:rPr>
        <w:t>ng V</w:t>
      </w:r>
      <w:r w:rsidR="00034082" w:rsidRPr="00034082">
        <w:rPr>
          <w:b/>
          <w:sz w:val="28"/>
          <w:lang w:val="en-US"/>
        </w:rPr>
        <w:t>ă</w:t>
      </w:r>
      <w:r w:rsidR="00034082">
        <w:rPr>
          <w:b/>
          <w:sz w:val="28"/>
          <w:lang w:val="en-US"/>
        </w:rPr>
        <w:t xml:space="preserve">n Chung </w:t>
      </w:r>
      <w:r w:rsidR="005C1506">
        <w:rPr>
          <w:b/>
          <w:sz w:val="28"/>
        </w:rPr>
        <w:t xml:space="preserve">trú tại xã </w:t>
      </w:r>
      <w:r w:rsidR="00291AF5">
        <w:rPr>
          <w:b/>
          <w:sz w:val="28"/>
          <w:lang w:val="en-US"/>
        </w:rPr>
        <w:t>Ch</w:t>
      </w:r>
      <w:r w:rsidR="00291AF5" w:rsidRPr="00291AF5">
        <w:rPr>
          <w:b/>
          <w:sz w:val="28"/>
          <w:lang w:val="en-US"/>
        </w:rPr>
        <w:t>â</w:t>
      </w:r>
      <w:r w:rsidR="00291AF5">
        <w:rPr>
          <w:b/>
          <w:sz w:val="28"/>
          <w:lang w:val="en-US"/>
        </w:rPr>
        <w:t>u S</w:t>
      </w:r>
      <w:r w:rsidR="00291AF5" w:rsidRPr="00291AF5">
        <w:rPr>
          <w:b/>
          <w:sz w:val="28"/>
          <w:lang w:val="en-US"/>
        </w:rPr>
        <w:t>ơ</w:t>
      </w:r>
      <w:r w:rsidR="00291AF5">
        <w:rPr>
          <w:b/>
          <w:sz w:val="28"/>
          <w:lang w:val="en-US"/>
        </w:rPr>
        <w:t>n</w:t>
      </w:r>
      <w:r w:rsidR="005C1506">
        <w:rPr>
          <w:b/>
          <w:sz w:val="28"/>
        </w:rPr>
        <w:t xml:space="preserve">, huyện </w:t>
      </w:r>
      <w:r w:rsidR="00291AF5" w:rsidRPr="00291AF5">
        <w:rPr>
          <w:b/>
          <w:sz w:val="28"/>
        </w:rPr>
        <w:t>Đình</w:t>
      </w:r>
      <w:r w:rsidR="00291AF5">
        <w:rPr>
          <w:b/>
          <w:sz w:val="28"/>
          <w:lang w:val="en-US"/>
        </w:rPr>
        <w:t xml:space="preserve"> L</w:t>
      </w:r>
      <w:r w:rsidR="00291AF5" w:rsidRPr="00291AF5">
        <w:rPr>
          <w:b/>
          <w:sz w:val="28"/>
          <w:lang w:val="en-US"/>
        </w:rPr>
        <w:t>ập</w:t>
      </w:r>
      <w:r w:rsidR="00291AF5">
        <w:rPr>
          <w:b/>
          <w:sz w:val="28"/>
          <w:lang w:val="en-US"/>
        </w:rPr>
        <w:t xml:space="preserve"> </w:t>
      </w:r>
      <w:r w:rsidR="005C1506">
        <w:rPr>
          <w:b/>
          <w:sz w:val="28"/>
        </w:rPr>
        <w:t xml:space="preserve">hỏi: </w:t>
      </w:r>
      <w:r w:rsidR="005C1506">
        <w:rPr>
          <w:b/>
          <w:i/>
          <w:sz w:val="28"/>
        </w:rPr>
        <w:t>thủ tục, lệ phí cấp giấy thông hành sang Trung Quốc được pháp luật quy định như thế nào?</w:t>
      </w:r>
    </w:p>
    <w:p w:rsidR="000C24F5" w:rsidRDefault="005C1506">
      <w:pPr>
        <w:pStyle w:val="Heading1"/>
        <w:spacing w:before="112"/>
        <w:ind w:left="909"/>
        <w:jc w:val="both"/>
      </w:pPr>
      <w:r>
        <w:t>Trả lời:</w:t>
      </w:r>
    </w:p>
    <w:p w:rsidR="000C24F5" w:rsidRDefault="005C1506">
      <w:pPr>
        <w:pStyle w:val="BodyText"/>
        <w:spacing w:before="115"/>
        <w:ind w:right="113"/>
      </w:pPr>
      <w:r>
        <w:t xml:space="preserve">Theo quy định tại Thông tư số: 67/2013/TT-BCA ngày 11/12/2013 của Bộ Công an về việc cấp giấy thông hành xuất, nhập cảnh vùng biên giới </w:t>
      </w:r>
      <w:r>
        <w:rPr>
          <w:spacing w:val="-3"/>
        </w:rPr>
        <w:t xml:space="preserve">cho </w:t>
      </w:r>
      <w:r>
        <w:t>công dân Việt Nam qua lại biên giới Việt Nam - Trung Quốc thì nơi tiếp nhận hồ sơ đề nghị cấp giấy thông hành xuất, nhập cảnh sang Trung Quốc được quy định như</w:t>
      </w:r>
      <w:r>
        <w:rPr>
          <w:spacing w:val="-1"/>
        </w:rPr>
        <w:t xml:space="preserve"> </w:t>
      </w:r>
      <w:r>
        <w:t>sau:</w:t>
      </w:r>
    </w:p>
    <w:p w:rsidR="000C24F5" w:rsidRDefault="005C1506">
      <w:pPr>
        <w:pStyle w:val="ListParagraph"/>
        <w:numPr>
          <w:ilvl w:val="0"/>
          <w:numId w:val="2"/>
        </w:numPr>
        <w:tabs>
          <w:tab w:val="left" w:pos="1022"/>
        </w:tabs>
        <w:spacing w:before="120"/>
        <w:ind w:right="115" w:firstLine="719"/>
        <w:rPr>
          <w:sz w:val="28"/>
        </w:rPr>
      </w:pPr>
      <w:r>
        <w:rPr>
          <w:sz w:val="28"/>
        </w:rPr>
        <w:t>Công dân Việt Nam thường trú tại xã, phường, thị trấn tiếp giáp đường biên giới Việt Nam - Trung Quốc có nhu cầu cấp giấy thông hành xuất, nhập cảnh nộp hồ sơ tại Công an cấp xã nơi có hộ khẩu thường trú, khi nộp hồ sơ phải xuất trình giấy chứng minh nhân dân; người dưới 14 tuổi phải xuất trình giấy khai sinh hoặc sổ hộ khẩu để kiểm tra, đối</w:t>
      </w:r>
      <w:r>
        <w:rPr>
          <w:spacing w:val="-22"/>
          <w:sz w:val="28"/>
        </w:rPr>
        <w:t xml:space="preserve"> </w:t>
      </w:r>
      <w:r>
        <w:rPr>
          <w:sz w:val="28"/>
        </w:rPr>
        <w:t>chiếu;</w:t>
      </w:r>
    </w:p>
    <w:p w:rsidR="000C24F5" w:rsidRDefault="005C1506">
      <w:pPr>
        <w:pStyle w:val="ListParagraph"/>
        <w:numPr>
          <w:ilvl w:val="0"/>
          <w:numId w:val="2"/>
        </w:numPr>
        <w:tabs>
          <w:tab w:val="left" w:pos="1003"/>
        </w:tabs>
        <w:spacing w:before="121"/>
        <w:ind w:right="113" w:firstLine="719"/>
        <w:rPr>
          <w:sz w:val="28"/>
        </w:rPr>
      </w:pPr>
      <w:r>
        <w:rPr>
          <w:sz w:val="28"/>
        </w:rPr>
        <w:t>Cán bộ, công chức đang làm việc tại các cơ quan nhà nước có trụ sở đóng tại vùng biên giới Việt Nam - Trung Quốc được cử sang vùng biên giới đối diện của Trung Quốc để trao đổi công vụ thì nộp hồ sơ tại Công an cấp huyện nơi cơ quan đóng trụ</w:t>
      </w:r>
      <w:r>
        <w:rPr>
          <w:spacing w:val="-2"/>
          <w:sz w:val="28"/>
        </w:rPr>
        <w:t xml:space="preserve"> </w:t>
      </w:r>
      <w:r>
        <w:rPr>
          <w:sz w:val="28"/>
        </w:rPr>
        <w:t>sở;</w:t>
      </w:r>
    </w:p>
    <w:p w:rsidR="000C24F5" w:rsidRDefault="000C24F5">
      <w:pPr>
        <w:jc w:val="both"/>
        <w:rPr>
          <w:sz w:val="28"/>
        </w:rPr>
        <w:sectPr w:rsidR="000C24F5">
          <w:footerReference w:type="default" r:id="rId8"/>
          <w:pgSz w:w="11910" w:h="16850"/>
          <w:pgMar w:top="1060" w:right="1020" w:bottom="1240" w:left="1580" w:header="0" w:footer="1052" w:gutter="0"/>
          <w:pgNumType w:start="2"/>
          <w:cols w:space="720"/>
        </w:sectPr>
      </w:pPr>
    </w:p>
    <w:p w:rsidR="000C24F5" w:rsidRDefault="005C1506">
      <w:pPr>
        <w:pStyle w:val="ListParagraph"/>
        <w:numPr>
          <w:ilvl w:val="0"/>
          <w:numId w:val="2"/>
        </w:numPr>
        <w:tabs>
          <w:tab w:val="left" w:pos="1010"/>
        </w:tabs>
        <w:spacing w:before="69"/>
        <w:ind w:right="125" w:firstLine="719"/>
        <w:rPr>
          <w:sz w:val="28"/>
        </w:rPr>
      </w:pPr>
      <w:r>
        <w:rPr>
          <w:sz w:val="28"/>
        </w:rPr>
        <w:lastRenderedPageBreak/>
        <w:t>Người đề nghị cấp giấy thông hành xuất, nhập cảnh phải nộp lệ phí theo quy định của Bộ Tài</w:t>
      </w:r>
      <w:r>
        <w:rPr>
          <w:spacing w:val="-5"/>
          <w:sz w:val="28"/>
        </w:rPr>
        <w:t xml:space="preserve"> </w:t>
      </w:r>
      <w:r>
        <w:rPr>
          <w:sz w:val="28"/>
        </w:rPr>
        <w:t>chính.</w:t>
      </w:r>
    </w:p>
    <w:p w:rsidR="000C24F5" w:rsidRDefault="005C1506">
      <w:pPr>
        <w:pStyle w:val="BodyText"/>
        <w:ind w:right="119" w:firstLine="789"/>
      </w:pPr>
      <w:r>
        <w:t xml:space="preserve">Thời hạn giải quyết thủ tục cấp giấy thông hành xuất, nhập cảnh là 01 ngày làm việc, kể từ khi nhận đủ hồ sơ hợp lệ. Trong trường hợp hồ sơ của người đề nghị cấp giấy thông hành xuất, nhập cảnh chưa đầy đủ thì cơ quan </w:t>
      </w:r>
      <w:r>
        <w:rPr>
          <w:spacing w:val="-3"/>
        </w:rPr>
        <w:t xml:space="preserve">có </w:t>
      </w:r>
      <w:r>
        <w:t>thẩm quyền cấp giấy thông hành thông báo cho người đề nghị biết và thời hạn được tính lại kể từ khi nhận đủ hồ sơ hợp lệ. Trường hợp không giải quyết phải trả lời và nêu rõ lý do cho người đề nghị</w:t>
      </w:r>
      <w:r>
        <w:rPr>
          <w:spacing w:val="-12"/>
        </w:rPr>
        <w:t xml:space="preserve"> </w:t>
      </w:r>
      <w:r>
        <w:t>biết.</w:t>
      </w:r>
    </w:p>
    <w:p w:rsidR="000C24F5" w:rsidRDefault="005C1506">
      <w:pPr>
        <w:pStyle w:val="Heading1"/>
        <w:spacing w:before="125"/>
        <w:jc w:val="both"/>
      </w:pPr>
      <w:r>
        <w:t>Thẩm quyền cấp giấy thông hành xuất, nhập cảnh</w:t>
      </w:r>
    </w:p>
    <w:p w:rsidR="000C24F5" w:rsidRDefault="005C1506">
      <w:pPr>
        <w:pStyle w:val="ListParagraph"/>
        <w:numPr>
          <w:ilvl w:val="0"/>
          <w:numId w:val="2"/>
        </w:numPr>
        <w:tabs>
          <w:tab w:val="left" w:pos="1013"/>
        </w:tabs>
        <w:spacing w:before="117"/>
        <w:ind w:firstLine="719"/>
        <w:rPr>
          <w:sz w:val="28"/>
        </w:rPr>
      </w:pPr>
      <w:r>
        <w:rPr>
          <w:sz w:val="28"/>
        </w:rPr>
        <w:t xml:space="preserve">Trưởng Công an cấp huyện tiếp giáp đường biên giới Việt Nam - Trung Quốc cấp giấy thông hành xuất, nhập cảnh cho cán bộ, công chức đang làm việc tại các cơ quan có trụ sở đóng tại huyện, thị xã, thành phố trực thuộc tỉnh đó được cử sang vùng biên giới đối diện của Trung Quốc để trao đổi công vụ. Trường hợp Trưởng Công an cấp huyện vắng mặt thì một Phó trưởng Công an cấp huyện được Trưởng Công an cấp huyện ủy quyền thực hiện nhiệm vụ, quyền hạn. Phó trưởng Công an cấp huyện chịu trách nhiệm trước Trưởng Công an cấp huyện và trước pháp luật về nhiệm </w:t>
      </w:r>
      <w:r>
        <w:rPr>
          <w:spacing w:val="2"/>
          <w:sz w:val="28"/>
        </w:rPr>
        <w:t xml:space="preserve">vụ </w:t>
      </w:r>
      <w:r>
        <w:rPr>
          <w:sz w:val="28"/>
        </w:rPr>
        <w:t>được</w:t>
      </w:r>
      <w:r>
        <w:rPr>
          <w:spacing w:val="-19"/>
          <w:sz w:val="28"/>
        </w:rPr>
        <w:t xml:space="preserve"> </w:t>
      </w:r>
      <w:r>
        <w:rPr>
          <w:sz w:val="28"/>
        </w:rPr>
        <w:t>giao.</w:t>
      </w:r>
    </w:p>
    <w:p w:rsidR="000C24F5" w:rsidRDefault="005C1506">
      <w:pPr>
        <w:pStyle w:val="ListParagraph"/>
        <w:numPr>
          <w:ilvl w:val="0"/>
          <w:numId w:val="2"/>
        </w:numPr>
        <w:tabs>
          <w:tab w:val="left" w:pos="1046"/>
        </w:tabs>
        <w:spacing w:before="120"/>
        <w:ind w:firstLine="719"/>
        <w:rPr>
          <w:sz w:val="28"/>
        </w:rPr>
      </w:pPr>
      <w:r>
        <w:rPr>
          <w:sz w:val="28"/>
        </w:rPr>
        <w:t>Trưởng công an cấp xã tiếp giáp đường biên giới Việt Nam - Trung Quốc cấp giấy thông hành xuất, nhập cảnh cho công dân Việt Nam thường trú tại xã, phường, thị trấn đó. Trường hợp Trưởng Công an cấp xã vắng mặt thì một Phó trưởng Công an cấp xã được Trưởng Công an cấp xã ủy quyền thực hiện nhiệm vụ, quyền hạn. Phó trưởng Công an cấp xã chịu trách nhiệm trước Trưởng Công an cấp xã và trước pháp luật về nhiệm vụ được</w:t>
      </w:r>
      <w:r>
        <w:rPr>
          <w:spacing w:val="-15"/>
          <w:sz w:val="28"/>
        </w:rPr>
        <w:t xml:space="preserve"> </w:t>
      </w:r>
      <w:r>
        <w:rPr>
          <w:sz w:val="28"/>
        </w:rPr>
        <w:t>giao.</w:t>
      </w:r>
    </w:p>
    <w:p w:rsidR="000C24F5" w:rsidRDefault="005C1506">
      <w:pPr>
        <w:pStyle w:val="BodyText"/>
        <w:spacing w:before="143"/>
        <w:ind w:left="839" w:firstLine="0"/>
      </w:pPr>
      <w:r>
        <w:t>Lệ phí cấp Giấy thông hành xuất, nhập cảnh:</w:t>
      </w:r>
    </w:p>
    <w:p w:rsidR="000C24F5" w:rsidRDefault="005C1506">
      <w:pPr>
        <w:pStyle w:val="BodyText"/>
        <w:spacing w:before="21" w:line="256" w:lineRule="auto"/>
        <w:ind w:right="112"/>
        <w:rPr>
          <w:lang w:val="en-US"/>
        </w:rPr>
      </w:pPr>
      <w:r>
        <w:t xml:space="preserve">Căn cứ theo thông tư 219/2016/TT-BTC thì </w:t>
      </w:r>
      <w:r>
        <w:rPr>
          <w:spacing w:val="-3"/>
        </w:rPr>
        <w:t xml:space="preserve">mức </w:t>
      </w:r>
      <w:r>
        <w:t>thu đối với việc cấp  Giấy thông hành xuất, nhập cảnh cho công dân Việt Nam sang công tác, du lịch các tỉnh, thành phố biên giới Trung Quốc tiếp giáp Việt Nam là 50.000 đồng/lần cấp</w:t>
      </w:r>
      <w:r w:rsidR="004B16DE">
        <w:rPr>
          <w:lang w:val="en-US"/>
        </w:rPr>
        <w:t>.</w:t>
      </w:r>
    </w:p>
    <w:p w:rsidR="004B16DE" w:rsidRPr="00F144A2" w:rsidRDefault="004B16DE">
      <w:pPr>
        <w:pStyle w:val="BodyText"/>
        <w:spacing w:before="21" w:line="256" w:lineRule="auto"/>
        <w:ind w:right="112"/>
        <w:rPr>
          <w:b/>
          <w:lang w:val="en-US"/>
        </w:rPr>
      </w:pPr>
      <w:r w:rsidRPr="00F144A2">
        <w:rPr>
          <w:b/>
          <w:lang w:val="en-US"/>
        </w:rPr>
        <w:t xml:space="preserve"> Nhắn tin: trong Chuyên mục tuần này chúng tôi cũng đã nhận được đơn thư của ông</w:t>
      </w:r>
      <w:r w:rsidR="00DF5F2D" w:rsidRPr="00F144A2">
        <w:rPr>
          <w:b/>
          <w:lang w:val="en-US"/>
        </w:rPr>
        <w:t xml:space="preserve"> Trần Văn Quý trú tại thôn Khau Ngòa, xã Trấn Ninh, huyện Văn Quan hỏi</w:t>
      </w:r>
      <w:r w:rsidR="00F715DB" w:rsidRPr="00F144A2">
        <w:rPr>
          <w:b/>
          <w:lang w:val="en-US"/>
        </w:rPr>
        <w:t>:</w:t>
      </w:r>
      <w:r w:rsidR="00E7556B" w:rsidRPr="00F144A2">
        <w:rPr>
          <w:b/>
          <w:lang w:val="en-US"/>
        </w:rPr>
        <w:t xml:space="preserve"> </w:t>
      </w:r>
      <w:r w:rsidR="00F715DB" w:rsidRPr="00F144A2">
        <w:rPr>
          <w:b/>
          <w:i/>
          <w:lang w:val="en-US"/>
        </w:rPr>
        <w:t>về</w:t>
      </w:r>
      <w:r w:rsidR="00E7556B" w:rsidRPr="00F144A2">
        <w:rPr>
          <w:b/>
          <w:i/>
          <w:lang w:val="en-US"/>
        </w:rPr>
        <w:t xml:space="preserve"> việc </w:t>
      </w:r>
      <w:r w:rsidR="002C2005" w:rsidRPr="00F144A2">
        <w:rPr>
          <w:b/>
          <w:i/>
          <w:lang w:val="en-US"/>
        </w:rPr>
        <w:t xml:space="preserve">giải quyết </w:t>
      </w:r>
      <w:r w:rsidR="00E7556B" w:rsidRPr="00F144A2">
        <w:rPr>
          <w:b/>
          <w:i/>
          <w:lang w:val="en-US"/>
        </w:rPr>
        <w:t>chế độ chính sách</w:t>
      </w:r>
      <w:r w:rsidR="00743BC9" w:rsidRPr="00F144A2">
        <w:rPr>
          <w:rFonts w:ascii="Arial" w:hAnsi="Arial" w:cs="Arial"/>
          <w:b/>
          <w:bCs/>
          <w:i/>
          <w:color w:val="202124"/>
          <w:shd w:val="clear" w:color="auto" w:fill="FFFFFF"/>
          <w:lang w:val="en-US"/>
        </w:rPr>
        <w:t xml:space="preserve"> </w:t>
      </w:r>
      <w:r w:rsidR="00743BC9" w:rsidRPr="00F144A2">
        <w:rPr>
          <w:b/>
          <w:bCs/>
          <w:i/>
          <w:color w:val="202124"/>
          <w:shd w:val="clear" w:color="auto" w:fill="FFFFFF"/>
        </w:rPr>
        <w:t>hỗ trợ</w:t>
      </w:r>
      <w:r w:rsidR="00743BC9" w:rsidRPr="00F144A2">
        <w:rPr>
          <w:rFonts w:ascii="Arial" w:hAnsi="Arial" w:cs="Arial"/>
          <w:b/>
          <w:bCs/>
          <w:i/>
          <w:color w:val="202124"/>
          <w:shd w:val="clear" w:color="auto" w:fill="FFFFFF"/>
        </w:rPr>
        <w:t xml:space="preserve"> </w:t>
      </w:r>
      <w:r w:rsidR="00E7556B" w:rsidRPr="00F144A2">
        <w:rPr>
          <w:b/>
          <w:i/>
          <w:lang w:val="en-US"/>
        </w:rPr>
        <w:t xml:space="preserve">cho học sinh </w:t>
      </w:r>
      <w:r w:rsidR="002C2005" w:rsidRPr="00F144A2">
        <w:rPr>
          <w:b/>
          <w:i/>
          <w:lang w:val="en-US"/>
        </w:rPr>
        <w:t>và trường phổ thông ở thôn, xã đặc biệt khó khăn</w:t>
      </w:r>
      <w:r w:rsidR="00A923D8" w:rsidRPr="00F144A2">
        <w:rPr>
          <w:b/>
          <w:i/>
          <w:lang w:val="en-US"/>
        </w:rPr>
        <w:t>.</w:t>
      </w:r>
    </w:p>
    <w:p w:rsidR="00A923D8" w:rsidRPr="004B16DE" w:rsidRDefault="00A923D8">
      <w:pPr>
        <w:pStyle w:val="BodyText"/>
        <w:spacing w:before="21" w:line="256" w:lineRule="auto"/>
        <w:ind w:right="112"/>
        <w:rPr>
          <w:lang w:val="en-US"/>
        </w:rPr>
      </w:pPr>
      <w:r w:rsidRPr="00A923D8">
        <w:rPr>
          <w:lang w:val="en-US"/>
        </w:rPr>
        <w:t>Đơ</w:t>
      </w:r>
      <w:r>
        <w:rPr>
          <w:lang w:val="en-US"/>
        </w:rPr>
        <w:t>n th</w:t>
      </w:r>
      <w:r w:rsidRPr="00A923D8">
        <w:rPr>
          <w:lang w:val="en-US"/>
        </w:rPr>
        <w:t>ư</w:t>
      </w:r>
      <w:r>
        <w:rPr>
          <w:lang w:val="en-US"/>
        </w:rPr>
        <w:t xml:space="preserve"> c</w:t>
      </w:r>
      <w:r w:rsidRPr="00A923D8">
        <w:rPr>
          <w:lang w:val="en-US"/>
        </w:rPr>
        <w:t>ủa</w:t>
      </w:r>
      <w:r>
        <w:rPr>
          <w:lang w:val="en-US"/>
        </w:rPr>
        <w:t xml:space="preserve"> </w:t>
      </w:r>
      <w:r w:rsidRPr="00A923D8">
        <w:rPr>
          <w:lang w:val="en-US"/>
        </w:rPr>
        <w:t>ô</w:t>
      </w:r>
      <w:r>
        <w:rPr>
          <w:lang w:val="en-US"/>
        </w:rPr>
        <w:t>ng</w:t>
      </w:r>
      <w:r w:rsidR="00F144A2">
        <w:rPr>
          <w:lang w:val="en-US"/>
        </w:rPr>
        <w:t>,</w:t>
      </w:r>
      <w:r>
        <w:rPr>
          <w:lang w:val="en-US"/>
        </w:rPr>
        <w:t xml:space="preserve"> ch</w:t>
      </w:r>
      <w:r w:rsidRPr="00A923D8">
        <w:rPr>
          <w:lang w:val="en-US"/>
        </w:rPr>
        <w:t>úng</w:t>
      </w:r>
      <w:r>
        <w:rPr>
          <w:lang w:val="en-US"/>
        </w:rPr>
        <w:t xml:space="preserve"> t</w:t>
      </w:r>
      <w:r w:rsidRPr="00A923D8">
        <w:rPr>
          <w:lang w:val="en-US"/>
        </w:rPr>
        <w:t>ô</w:t>
      </w:r>
      <w:r>
        <w:rPr>
          <w:lang w:val="en-US"/>
        </w:rPr>
        <w:t xml:space="preserve">i </w:t>
      </w:r>
      <w:r w:rsidRPr="00A923D8">
        <w:rPr>
          <w:lang w:val="en-US"/>
        </w:rPr>
        <w:t>đã</w:t>
      </w:r>
      <w:r>
        <w:rPr>
          <w:lang w:val="en-US"/>
        </w:rPr>
        <w:t xml:space="preserve"> chuy</w:t>
      </w:r>
      <w:r w:rsidRPr="00A923D8">
        <w:rPr>
          <w:lang w:val="en-US"/>
        </w:rPr>
        <w:t>ển</w:t>
      </w:r>
      <w:r>
        <w:rPr>
          <w:lang w:val="en-US"/>
        </w:rPr>
        <w:t xml:space="preserve"> đ</w:t>
      </w:r>
      <w:r w:rsidRPr="00A923D8">
        <w:rPr>
          <w:lang w:val="en-US"/>
        </w:rPr>
        <w:t>ến</w:t>
      </w:r>
      <w:r>
        <w:rPr>
          <w:lang w:val="en-US"/>
        </w:rPr>
        <w:t xml:space="preserve"> UBND x</w:t>
      </w:r>
      <w:r w:rsidRPr="00A923D8">
        <w:rPr>
          <w:lang w:val="en-US"/>
        </w:rPr>
        <w:t>ã</w:t>
      </w:r>
      <w:r>
        <w:rPr>
          <w:lang w:val="en-US"/>
        </w:rPr>
        <w:t xml:space="preserve"> Tr</w:t>
      </w:r>
      <w:r w:rsidRPr="00A923D8">
        <w:rPr>
          <w:lang w:val="en-US"/>
        </w:rPr>
        <w:t>ấn</w:t>
      </w:r>
      <w:r>
        <w:rPr>
          <w:lang w:val="en-US"/>
        </w:rPr>
        <w:t xml:space="preserve"> Ninh, huy</w:t>
      </w:r>
      <w:r w:rsidRPr="00A923D8">
        <w:rPr>
          <w:lang w:val="en-US"/>
        </w:rPr>
        <w:t>ện</w:t>
      </w:r>
      <w:r>
        <w:rPr>
          <w:lang w:val="en-US"/>
        </w:rPr>
        <w:t xml:space="preserve"> V</w:t>
      </w:r>
      <w:r w:rsidRPr="00A923D8">
        <w:rPr>
          <w:lang w:val="en-US"/>
        </w:rPr>
        <w:t>ă</w:t>
      </w:r>
      <w:r>
        <w:rPr>
          <w:lang w:val="en-US"/>
        </w:rPr>
        <w:t>n Quan đ</w:t>
      </w:r>
      <w:r w:rsidRPr="00A923D8">
        <w:rPr>
          <w:lang w:val="en-US"/>
        </w:rPr>
        <w:t>ể</w:t>
      </w:r>
      <w:r>
        <w:rPr>
          <w:lang w:val="en-US"/>
        </w:rPr>
        <w:t xml:space="preserve"> xem x</w:t>
      </w:r>
      <w:r w:rsidRPr="00A923D8">
        <w:rPr>
          <w:lang w:val="en-US"/>
        </w:rPr>
        <w:t>ét</w:t>
      </w:r>
      <w:r>
        <w:rPr>
          <w:lang w:val="en-US"/>
        </w:rPr>
        <w:t>, gi</w:t>
      </w:r>
      <w:r w:rsidRPr="00A923D8">
        <w:rPr>
          <w:lang w:val="en-US"/>
        </w:rPr>
        <w:t>ải</w:t>
      </w:r>
      <w:r>
        <w:rPr>
          <w:lang w:val="en-US"/>
        </w:rPr>
        <w:t xml:space="preserve"> quy</w:t>
      </w:r>
      <w:r w:rsidRPr="00A923D8">
        <w:rPr>
          <w:lang w:val="en-US"/>
        </w:rPr>
        <w:t>ết</w:t>
      </w:r>
      <w:r>
        <w:rPr>
          <w:lang w:val="en-US"/>
        </w:rPr>
        <w:t xml:space="preserve"> theo th</w:t>
      </w:r>
      <w:r w:rsidRPr="00A923D8">
        <w:rPr>
          <w:lang w:val="en-US"/>
        </w:rPr>
        <w:t>ẩm</w:t>
      </w:r>
      <w:r>
        <w:rPr>
          <w:lang w:val="en-US"/>
        </w:rPr>
        <w:t xml:space="preserve"> quy</w:t>
      </w:r>
      <w:r w:rsidRPr="00A923D8">
        <w:rPr>
          <w:lang w:val="en-US"/>
        </w:rPr>
        <w:t>ền</w:t>
      </w:r>
      <w:r>
        <w:rPr>
          <w:lang w:val="en-US"/>
        </w:rPr>
        <w:t>.</w:t>
      </w:r>
    </w:p>
    <w:p w:rsidR="000C24F5" w:rsidRDefault="005C1506">
      <w:pPr>
        <w:pStyle w:val="Heading1"/>
        <w:spacing w:line="307" w:lineRule="exact"/>
      </w:pPr>
      <w:r>
        <w:t>Người thực hiện: Tô Thị Huệ – Chuyên viên phòng phổ biến, giáo dục</w:t>
      </w:r>
    </w:p>
    <w:p w:rsidR="000C24F5" w:rsidRDefault="005C1506">
      <w:pPr>
        <w:spacing w:before="2"/>
        <w:ind w:left="119"/>
        <w:rPr>
          <w:b/>
          <w:sz w:val="28"/>
        </w:rPr>
      </w:pPr>
      <w:r>
        <w:rPr>
          <w:b/>
          <w:sz w:val="28"/>
        </w:rPr>
        <w:t>pháp luật - Sở Tư pháp tỉnh Lạng Sơn</w:t>
      </w:r>
    </w:p>
    <w:sectPr w:rsidR="000C24F5">
      <w:pgSz w:w="11910" w:h="16850"/>
      <w:pgMar w:top="1060" w:right="1020" w:bottom="1240" w:left="1580" w:header="0" w:footer="10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4F" w:rsidRDefault="00CC114F">
      <w:r>
        <w:separator/>
      </w:r>
    </w:p>
  </w:endnote>
  <w:endnote w:type="continuationSeparator" w:id="0">
    <w:p w:rsidR="00CC114F" w:rsidRDefault="00CC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F5" w:rsidRDefault="00E21960">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6713220</wp:posOffset>
              </wp:positionH>
              <wp:positionV relativeFrom="page">
                <wp:posOffset>9886315</wp:posOffset>
              </wp:positionV>
              <wp:extent cx="165735"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4F5" w:rsidRDefault="005C1506">
                          <w:pPr>
                            <w:pStyle w:val="BodyText"/>
                            <w:spacing w:before="9"/>
                            <w:ind w:left="60" w:firstLine="0"/>
                            <w:jc w:val="left"/>
                          </w:pPr>
                          <w:r>
                            <w:fldChar w:fldCharType="begin"/>
                          </w:r>
                          <w:r>
                            <w:instrText xml:space="preserve"> PAGE </w:instrText>
                          </w:r>
                          <w:r>
                            <w:fldChar w:fldCharType="separate"/>
                          </w:r>
                          <w:r w:rsidR="005A3622">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6pt;margin-top:778.45pt;width:13.05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sm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" filled="f" stroked="f">
              <v:textbox inset="0,0,0,0">
                <w:txbxContent>
                  <w:p w:rsidR="000C24F5" w:rsidRDefault="005C1506">
                    <w:pPr>
                      <w:pStyle w:val="BodyText"/>
                      <w:spacing w:before="9"/>
                      <w:ind w:left="60" w:firstLine="0"/>
                      <w:jc w:val="left"/>
                    </w:pPr>
                    <w:r>
                      <w:fldChar w:fldCharType="begin"/>
                    </w:r>
                    <w:r>
                      <w:instrText xml:space="preserve"> PAGE </w:instrText>
                    </w:r>
                    <w:r>
                      <w:fldChar w:fldCharType="separate"/>
                    </w:r>
                    <w:r w:rsidR="005A3622">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4F" w:rsidRDefault="00CC114F">
      <w:r>
        <w:separator/>
      </w:r>
    </w:p>
  </w:footnote>
  <w:footnote w:type="continuationSeparator" w:id="0">
    <w:p w:rsidR="00CC114F" w:rsidRDefault="00CC1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E38B7"/>
    <w:multiLevelType w:val="hybridMultilevel"/>
    <w:tmpl w:val="0226D71C"/>
    <w:lvl w:ilvl="0" w:tplc="D36098CA">
      <w:numFmt w:val="bullet"/>
      <w:lvlText w:val="-"/>
      <w:lvlJc w:val="left"/>
      <w:pPr>
        <w:ind w:left="119" w:hanging="245"/>
      </w:pPr>
      <w:rPr>
        <w:rFonts w:ascii="Times New Roman" w:eastAsia="Times New Roman" w:hAnsi="Times New Roman" w:cs="Times New Roman" w:hint="default"/>
        <w:w w:val="100"/>
        <w:sz w:val="28"/>
        <w:szCs w:val="28"/>
        <w:lang w:val="vi" w:eastAsia="en-US" w:bidi="ar-SA"/>
      </w:rPr>
    </w:lvl>
    <w:lvl w:ilvl="1" w:tplc="28E2CAC6">
      <w:numFmt w:val="bullet"/>
      <w:lvlText w:val="•"/>
      <w:lvlJc w:val="left"/>
      <w:pPr>
        <w:ind w:left="1038" w:hanging="245"/>
      </w:pPr>
      <w:rPr>
        <w:rFonts w:hint="default"/>
        <w:lang w:val="vi" w:eastAsia="en-US" w:bidi="ar-SA"/>
      </w:rPr>
    </w:lvl>
    <w:lvl w:ilvl="2" w:tplc="B016C0A4">
      <w:numFmt w:val="bullet"/>
      <w:lvlText w:val="•"/>
      <w:lvlJc w:val="left"/>
      <w:pPr>
        <w:ind w:left="1957" w:hanging="245"/>
      </w:pPr>
      <w:rPr>
        <w:rFonts w:hint="default"/>
        <w:lang w:val="vi" w:eastAsia="en-US" w:bidi="ar-SA"/>
      </w:rPr>
    </w:lvl>
    <w:lvl w:ilvl="3" w:tplc="0E5E9990">
      <w:numFmt w:val="bullet"/>
      <w:lvlText w:val="•"/>
      <w:lvlJc w:val="left"/>
      <w:pPr>
        <w:ind w:left="2875" w:hanging="245"/>
      </w:pPr>
      <w:rPr>
        <w:rFonts w:hint="default"/>
        <w:lang w:val="vi" w:eastAsia="en-US" w:bidi="ar-SA"/>
      </w:rPr>
    </w:lvl>
    <w:lvl w:ilvl="4" w:tplc="A7748BC4">
      <w:numFmt w:val="bullet"/>
      <w:lvlText w:val="•"/>
      <w:lvlJc w:val="left"/>
      <w:pPr>
        <w:ind w:left="3794" w:hanging="245"/>
      </w:pPr>
      <w:rPr>
        <w:rFonts w:hint="default"/>
        <w:lang w:val="vi" w:eastAsia="en-US" w:bidi="ar-SA"/>
      </w:rPr>
    </w:lvl>
    <w:lvl w:ilvl="5" w:tplc="70A26FCC">
      <w:numFmt w:val="bullet"/>
      <w:lvlText w:val="•"/>
      <w:lvlJc w:val="left"/>
      <w:pPr>
        <w:ind w:left="4713" w:hanging="245"/>
      </w:pPr>
      <w:rPr>
        <w:rFonts w:hint="default"/>
        <w:lang w:val="vi" w:eastAsia="en-US" w:bidi="ar-SA"/>
      </w:rPr>
    </w:lvl>
    <w:lvl w:ilvl="6" w:tplc="4EBA859A">
      <w:numFmt w:val="bullet"/>
      <w:lvlText w:val="•"/>
      <w:lvlJc w:val="left"/>
      <w:pPr>
        <w:ind w:left="5631" w:hanging="245"/>
      </w:pPr>
      <w:rPr>
        <w:rFonts w:hint="default"/>
        <w:lang w:val="vi" w:eastAsia="en-US" w:bidi="ar-SA"/>
      </w:rPr>
    </w:lvl>
    <w:lvl w:ilvl="7" w:tplc="E342106C">
      <w:numFmt w:val="bullet"/>
      <w:lvlText w:val="•"/>
      <w:lvlJc w:val="left"/>
      <w:pPr>
        <w:ind w:left="6550" w:hanging="245"/>
      </w:pPr>
      <w:rPr>
        <w:rFonts w:hint="default"/>
        <w:lang w:val="vi" w:eastAsia="en-US" w:bidi="ar-SA"/>
      </w:rPr>
    </w:lvl>
    <w:lvl w:ilvl="8" w:tplc="4866CA7E">
      <w:numFmt w:val="bullet"/>
      <w:lvlText w:val="•"/>
      <w:lvlJc w:val="left"/>
      <w:pPr>
        <w:ind w:left="7469" w:hanging="245"/>
      </w:pPr>
      <w:rPr>
        <w:rFonts w:hint="default"/>
        <w:lang w:val="vi" w:eastAsia="en-US" w:bidi="ar-SA"/>
      </w:rPr>
    </w:lvl>
  </w:abstractNum>
  <w:abstractNum w:abstractNumId="1">
    <w:nsid w:val="6E9C1B65"/>
    <w:multiLevelType w:val="hybridMultilevel"/>
    <w:tmpl w:val="2C368514"/>
    <w:lvl w:ilvl="0" w:tplc="D8328ED0">
      <w:start w:val="1"/>
      <w:numFmt w:val="lowerLetter"/>
      <w:lvlText w:val="%1)"/>
      <w:lvlJc w:val="left"/>
      <w:pPr>
        <w:ind w:left="119" w:hanging="295"/>
        <w:jc w:val="left"/>
      </w:pPr>
      <w:rPr>
        <w:rFonts w:ascii="Times New Roman" w:eastAsia="Times New Roman" w:hAnsi="Times New Roman" w:cs="Times New Roman" w:hint="default"/>
        <w:w w:val="100"/>
        <w:sz w:val="28"/>
        <w:szCs w:val="28"/>
        <w:lang w:val="vi" w:eastAsia="en-US" w:bidi="ar-SA"/>
      </w:rPr>
    </w:lvl>
    <w:lvl w:ilvl="1" w:tplc="49D4A174">
      <w:numFmt w:val="bullet"/>
      <w:lvlText w:val="•"/>
      <w:lvlJc w:val="left"/>
      <w:pPr>
        <w:ind w:left="1038" w:hanging="295"/>
      </w:pPr>
      <w:rPr>
        <w:rFonts w:hint="default"/>
        <w:lang w:val="vi" w:eastAsia="en-US" w:bidi="ar-SA"/>
      </w:rPr>
    </w:lvl>
    <w:lvl w:ilvl="2" w:tplc="6756D65A">
      <w:numFmt w:val="bullet"/>
      <w:lvlText w:val="•"/>
      <w:lvlJc w:val="left"/>
      <w:pPr>
        <w:ind w:left="1957" w:hanging="295"/>
      </w:pPr>
      <w:rPr>
        <w:rFonts w:hint="default"/>
        <w:lang w:val="vi" w:eastAsia="en-US" w:bidi="ar-SA"/>
      </w:rPr>
    </w:lvl>
    <w:lvl w:ilvl="3" w:tplc="D16495BA">
      <w:numFmt w:val="bullet"/>
      <w:lvlText w:val="•"/>
      <w:lvlJc w:val="left"/>
      <w:pPr>
        <w:ind w:left="2875" w:hanging="295"/>
      </w:pPr>
      <w:rPr>
        <w:rFonts w:hint="default"/>
        <w:lang w:val="vi" w:eastAsia="en-US" w:bidi="ar-SA"/>
      </w:rPr>
    </w:lvl>
    <w:lvl w:ilvl="4" w:tplc="6FE4F1A6">
      <w:numFmt w:val="bullet"/>
      <w:lvlText w:val="•"/>
      <w:lvlJc w:val="left"/>
      <w:pPr>
        <w:ind w:left="3794" w:hanging="295"/>
      </w:pPr>
      <w:rPr>
        <w:rFonts w:hint="default"/>
        <w:lang w:val="vi" w:eastAsia="en-US" w:bidi="ar-SA"/>
      </w:rPr>
    </w:lvl>
    <w:lvl w:ilvl="5" w:tplc="FC5E4B36">
      <w:numFmt w:val="bullet"/>
      <w:lvlText w:val="•"/>
      <w:lvlJc w:val="left"/>
      <w:pPr>
        <w:ind w:left="4713" w:hanging="295"/>
      </w:pPr>
      <w:rPr>
        <w:rFonts w:hint="default"/>
        <w:lang w:val="vi" w:eastAsia="en-US" w:bidi="ar-SA"/>
      </w:rPr>
    </w:lvl>
    <w:lvl w:ilvl="6" w:tplc="D8E6690A">
      <w:numFmt w:val="bullet"/>
      <w:lvlText w:val="•"/>
      <w:lvlJc w:val="left"/>
      <w:pPr>
        <w:ind w:left="5631" w:hanging="295"/>
      </w:pPr>
      <w:rPr>
        <w:rFonts w:hint="default"/>
        <w:lang w:val="vi" w:eastAsia="en-US" w:bidi="ar-SA"/>
      </w:rPr>
    </w:lvl>
    <w:lvl w:ilvl="7" w:tplc="FAB21940">
      <w:numFmt w:val="bullet"/>
      <w:lvlText w:val="•"/>
      <w:lvlJc w:val="left"/>
      <w:pPr>
        <w:ind w:left="6550" w:hanging="295"/>
      </w:pPr>
      <w:rPr>
        <w:rFonts w:hint="default"/>
        <w:lang w:val="vi" w:eastAsia="en-US" w:bidi="ar-SA"/>
      </w:rPr>
    </w:lvl>
    <w:lvl w:ilvl="8" w:tplc="F9C83A16">
      <w:numFmt w:val="bullet"/>
      <w:lvlText w:val="•"/>
      <w:lvlJc w:val="left"/>
      <w:pPr>
        <w:ind w:left="7469" w:hanging="295"/>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F5"/>
    <w:rsid w:val="00034082"/>
    <w:rsid w:val="000C24F5"/>
    <w:rsid w:val="00291AF5"/>
    <w:rsid w:val="002C2005"/>
    <w:rsid w:val="004B16DE"/>
    <w:rsid w:val="005A3622"/>
    <w:rsid w:val="005C1506"/>
    <w:rsid w:val="00743BC9"/>
    <w:rsid w:val="009F76F1"/>
    <w:rsid w:val="00A923D8"/>
    <w:rsid w:val="00CC114F"/>
    <w:rsid w:val="00DF5F2D"/>
    <w:rsid w:val="00E21960"/>
    <w:rsid w:val="00E6291C"/>
    <w:rsid w:val="00E7556B"/>
    <w:rsid w:val="00F144A2"/>
    <w:rsid w:val="00F7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83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9" w:firstLine="719"/>
      <w:jc w:val="both"/>
    </w:pPr>
    <w:rPr>
      <w:sz w:val="28"/>
      <w:szCs w:val="28"/>
    </w:rPr>
  </w:style>
  <w:style w:type="paragraph" w:styleId="ListParagraph">
    <w:name w:val="List Paragraph"/>
    <w:basedOn w:val="Normal"/>
    <w:uiPriority w:val="1"/>
    <w:qFormat/>
    <w:pPr>
      <w:spacing w:before="119"/>
      <w:ind w:left="119" w:right="112" w:firstLine="719"/>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83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9" w:firstLine="719"/>
      <w:jc w:val="both"/>
    </w:pPr>
    <w:rPr>
      <w:sz w:val="28"/>
      <w:szCs w:val="28"/>
    </w:rPr>
  </w:style>
  <w:style w:type="paragraph" w:styleId="ListParagraph">
    <w:name w:val="List Paragraph"/>
    <w:basedOn w:val="Normal"/>
    <w:uiPriority w:val="1"/>
    <w:qFormat/>
    <w:pPr>
      <w:spacing w:before="119"/>
      <w:ind w:left="119" w:right="112" w:firstLine="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Câu 1</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Câu 1</dc:title>
  <dc:creator>BaCuong</dc:creator>
  <cp:lastModifiedBy>DELL2</cp:lastModifiedBy>
  <cp:revision>6</cp:revision>
  <dcterms:created xsi:type="dcterms:W3CDTF">2022-08-07T07:27:00Z</dcterms:created>
  <dcterms:modified xsi:type="dcterms:W3CDTF">2022-08-07T07:41:00Z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2022-07-31T00:00:00Z</vt:filetime>
  </property>
  <property fmtid="{D5CDD505-2E9C-101B-9397-08002B2CF9AE}" pid="3" name="Creator">
    <vt:lpwstr>Microsoft® Word 2016</vt:lpwstr>
  </property>
  <property fmtid="{D5CDD505-2E9C-101B-9397-08002B2CF9AE}" pid="4" name="LastSaved">
    <vt:filetime>2022-08-07T00:00:00Z</vt:filetime>
  </property>
</Properties>
</file>